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2"/>
      </w:tblGrid>
      <w:tr w:rsidR="000419F4" w:rsidRPr="006731A6" w:rsidTr="000977AE">
        <w:trPr>
          <w:trHeight w:val="416"/>
        </w:trPr>
        <w:tc>
          <w:tcPr>
            <w:tcW w:w="10207" w:type="dxa"/>
            <w:gridSpan w:val="6"/>
            <w:vAlign w:val="center"/>
          </w:tcPr>
          <w:p w:rsidR="000419F4" w:rsidRPr="006731A6" w:rsidRDefault="000419F4" w:rsidP="000977A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Key Stage Three</w:t>
            </w:r>
            <w:r w:rsidR="00D3640E"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 xml:space="preserve"> History</w:t>
            </w:r>
          </w:p>
        </w:tc>
      </w:tr>
      <w:tr w:rsidR="00183A4C" w:rsidRPr="006731A6" w:rsidTr="000977AE">
        <w:trPr>
          <w:trHeight w:val="550"/>
        </w:trPr>
        <w:tc>
          <w:tcPr>
            <w:tcW w:w="10207" w:type="dxa"/>
            <w:gridSpan w:val="6"/>
            <w:vAlign w:val="center"/>
          </w:tcPr>
          <w:p w:rsidR="00183A4C" w:rsidRPr="006731A6" w:rsidRDefault="00183A4C" w:rsidP="000977A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Year 7</w:t>
            </w:r>
          </w:p>
        </w:tc>
      </w:tr>
      <w:tr w:rsidR="005A2C5D" w:rsidRPr="006731A6" w:rsidTr="005A2C5D">
        <w:trPr>
          <w:trHeight w:val="288"/>
        </w:trPr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1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2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3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4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5</w:t>
            </w:r>
          </w:p>
        </w:tc>
        <w:tc>
          <w:tcPr>
            <w:tcW w:w="1702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6</w:t>
            </w:r>
          </w:p>
        </w:tc>
      </w:tr>
      <w:tr w:rsidR="00645D54" w:rsidRPr="006731A6" w:rsidTr="00183A4C">
        <w:trPr>
          <w:trHeight w:val="1544"/>
        </w:trPr>
        <w:tc>
          <w:tcPr>
            <w:tcW w:w="1701" w:type="dxa"/>
          </w:tcPr>
          <w:p w:rsidR="00645D54" w:rsidRPr="006731A6" w:rsidRDefault="0001323D" w:rsidP="00645D54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Romans</w:t>
            </w:r>
          </w:p>
        </w:tc>
        <w:tc>
          <w:tcPr>
            <w:tcW w:w="1701" w:type="dxa"/>
          </w:tcPr>
          <w:p w:rsidR="00645D54" w:rsidRPr="006731A6" w:rsidRDefault="0001323D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Romans in Britain</w:t>
            </w:r>
          </w:p>
        </w:tc>
        <w:tc>
          <w:tcPr>
            <w:tcW w:w="1701" w:type="dxa"/>
          </w:tcPr>
          <w:p w:rsidR="0001323D" w:rsidRPr="006731A6" w:rsidRDefault="0001323D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Medieval Realms; the Norman invasion</w:t>
            </w:r>
          </w:p>
        </w:tc>
        <w:tc>
          <w:tcPr>
            <w:tcW w:w="1701" w:type="dxa"/>
          </w:tcPr>
          <w:p w:rsidR="00645D54" w:rsidRPr="006731A6" w:rsidRDefault="0001323D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Medieval Realms; Life in the Middle Ages</w:t>
            </w:r>
          </w:p>
        </w:tc>
        <w:tc>
          <w:tcPr>
            <w:tcW w:w="1701" w:type="dxa"/>
          </w:tcPr>
          <w:p w:rsidR="00645D54" w:rsidRPr="006731A6" w:rsidRDefault="00DA11FC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Tudor Kings</w:t>
            </w:r>
          </w:p>
        </w:tc>
        <w:tc>
          <w:tcPr>
            <w:tcW w:w="1702" w:type="dxa"/>
          </w:tcPr>
          <w:p w:rsidR="00645D54" w:rsidRPr="006731A6" w:rsidRDefault="00DA11FC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Tudors, Mary and Elizabeth</w:t>
            </w:r>
          </w:p>
        </w:tc>
      </w:tr>
      <w:tr w:rsidR="00183A4C" w:rsidRPr="006731A6" w:rsidTr="000977AE">
        <w:trPr>
          <w:trHeight w:val="564"/>
        </w:trPr>
        <w:tc>
          <w:tcPr>
            <w:tcW w:w="10207" w:type="dxa"/>
            <w:gridSpan w:val="6"/>
            <w:vAlign w:val="center"/>
          </w:tcPr>
          <w:p w:rsidR="00183A4C" w:rsidRPr="006731A6" w:rsidRDefault="00183A4C" w:rsidP="000977A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Year 8</w:t>
            </w:r>
          </w:p>
        </w:tc>
      </w:tr>
      <w:tr w:rsidR="005A2C5D" w:rsidRPr="006731A6" w:rsidTr="005A2C5D">
        <w:trPr>
          <w:trHeight w:val="407"/>
        </w:trPr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1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2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3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4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5</w:t>
            </w:r>
          </w:p>
        </w:tc>
        <w:tc>
          <w:tcPr>
            <w:tcW w:w="1702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6</w:t>
            </w:r>
          </w:p>
        </w:tc>
      </w:tr>
      <w:tr w:rsidR="00645D54" w:rsidRPr="006731A6" w:rsidTr="00183A4C">
        <w:trPr>
          <w:trHeight w:val="1420"/>
        </w:trPr>
        <w:tc>
          <w:tcPr>
            <w:tcW w:w="1701" w:type="dxa"/>
          </w:tcPr>
          <w:p w:rsidR="00645D54" w:rsidRPr="006731A6" w:rsidRDefault="00DA11FC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Stuart England, the Gunpowder Plot</w:t>
            </w:r>
          </w:p>
        </w:tc>
        <w:tc>
          <w:tcPr>
            <w:tcW w:w="1701" w:type="dxa"/>
          </w:tcPr>
          <w:p w:rsidR="00645D54" w:rsidRPr="006731A6" w:rsidRDefault="00DA11FC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Stuart England, the Civil War</w:t>
            </w:r>
          </w:p>
        </w:tc>
        <w:tc>
          <w:tcPr>
            <w:tcW w:w="1701" w:type="dxa"/>
          </w:tcPr>
          <w:p w:rsidR="00DA11FC" w:rsidRPr="006731A6" w:rsidRDefault="00DA11FC" w:rsidP="00DA11F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Industrial Revolution, factories and mines</w:t>
            </w:r>
          </w:p>
        </w:tc>
        <w:tc>
          <w:tcPr>
            <w:tcW w:w="1701" w:type="dxa"/>
          </w:tcPr>
          <w:p w:rsidR="00645D54" w:rsidRPr="006731A6" w:rsidRDefault="00DA11FC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Industrial Revolution, change and continuity</w:t>
            </w:r>
          </w:p>
        </w:tc>
        <w:tc>
          <w:tcPr>
            <w:tcW w:w="1701" w:type="dxa"/>
          </w:tcPr>
          <w:p w:rsidR="00DA11FC" w:rsidRPr="006731A6" w:rsidRDefault="00DA11FC" w:rsidP="00DA11F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Slavery, cause and consequence</w:t>
            </w:r>
          </w:p>
          <w:p w:rsidR="00DA11FC" w:rsidRPr="006731A6" w:rsidRDefault="00DA11FC" w:rsidP="00645D54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</w:p>
          <w:p w:rsidR="00645D54" w:rsidRPr="006731A6" w:rsidRDefault="00645D54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</w:p>
        </w:tc>
        <w:tc>
          <w:tcPr>
            <w:tcW w:w="1702" w:type="dxa"/>
          </w:tcPr>
          <w:p w:rsidR="00645D54" w:rsidRPr="006731A6" w:rsidRDefault="00DA11FC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Jack the Ripper</w:t>
            </w:r>
          </w:p>
        </w:tc>
      </w:tr>
      <w:tr w:rsidR="00183A4C" w:rsidRPr="006731A6" w:rsidTr="000977AE">
        <w:trPr>
          <w:trHeight w:val="571"/>
        </w:trPr>
        <w:tc>
          <w:tcPr>
            <w:tcW w:w="10207" w:type="dxa"/>
            <w:gridSpan w:val="6"/>
            <w:vAlign w:val="center"/>
          </w:tcPr>
          <w:p w:rsidR="00183A4C" w:rsidRPr="006731A6" w:rsidRDefault="00183A4C" w:rsidP="000977A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Year 9</w:t>
            </w:r>
          </w:p>
        </w:tc>
      </w:tr>
      <w:tr w:rsidR="005A2C5D" w:rsidRPr="006731A6" w:rsidTr="005A2C5D">
        <w:trPr>
          <w:trHeight w:val="375"/>
        </w:trPr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1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2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3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4</w:t>
            </w:r>
          </w:p>
        </w:tc>
        <w:tc>
          <w:tcPr>
            <w:tcW w:w="1701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5</w:t>
            </w:r>
          </w:p>
        </w:tc>
        <w:tc>
          <w:tcPr>
            <w:tcW w:w="1702" w:type="dxa"/>
          </w:tcPr>
          <w:p w:rsidR="005A2C5D" w:rsidRPr="00904910" w:rsidRDefault="005A2C5D" w:rsidP="005A2C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</w:pPr>
            <w:r w:rsidRPr="00904910">
              <w:rPr>
                <w:rFonts w:ascii="Arial" w:eastAsia="Times New Roman" w:hAnsi="Arial" w:cs="Arial"/>
                <w:bCs/>
                <w:sz w:val="20"/>
                <w:szCs w:val="24"/>
                <w:lang w:val="en" w:eastAsia="en-GB"/>
              </w:rPr>
              <w:t>Half Term 6</w:t>
            </w:r>
          </w:p>
        </w:tc>
      </w:tr>
      <w:tr w:rsidR="00645D54" w:rsidRPr="006731A6" w:rsidTr="00183A4C">
        <w:trPr>
          <w:trHeight w:val="1586"/>
        </w:trPr>
        <w:tc>
          <w:tcPr>
            <w:tcW w:w="1701" w:type="dxa"/>
          </w:tcPr>
          <w:p w:rsidR="0001323D" w:rsidRPr="006731A6" w:rsidRDefault="0001323D" w:rsidP="00183A4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World War One</w:t>
            </w:r>
            <w:r w:rsidR="00DA11FC"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, causes and trench warfare</w:t>
            </w:r>
          </w:p>
        </w:tc>
        <w:tc>
          <w:tcPr>
            <w:tcW w:w="1701" w:type="dxa"/>
          </w:tcPr>
          <w:p w:rsidR="00645D54" w:rsidRPr="006731A6" w:rsidRDefault="00DA11FC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World War One, effects and the peace</w:t>
            </w:r>
          </w:p>
        </w:tc>
        <w:tc>
          <w:tcPr>
            <w:tcW w:w="1701" w:type="dxa"/>
          </w:tcPr>
          <w:p w:rsidR="00645D54" w:rsidRPr="006731A6" w:rsidRDefault="00DA11FC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Holo</w:t>
            </w:r>
            <w:bookmarkStart w:id="0" w:name="_GoBack"/>
            <w:bookmarkEnd w:id="0"/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caust</w:t>
            </w:r>
          </w:p>
        </w:tc>
        <w:tc>
          <w:tcPr>
            <w:tcW w:w="1701" w:type="dxa"/>
          </w:tcPr>
          <w:p w:rsidR="00645D54" w:rsidRPr="006731A6" w:rsidRDefault="0001323D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USA; the Roaring Twenties</w:t>
            </w:r>
          </w:p>
        </w:tc>
        <w:tc>
          <w:tcPr>
            <w:tcW w:w="1701" w:type="dxa"/>
          </w:tcPr>
          <w:p w:rsidR="00645D54" w:rsidRPr="006731A6" w:rsidRDefault="0001323D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USA; the economic boom in the 1920s</w:t>
            </w:r>
          </w:p>
        </w:tc>
        <w:tc>
          <w:tcPr>
            <w:tcW w:w="1702" w:type="dxa"/>
          </w:tcPr>
          <w:p w:rsidR="0001323D" w:rsidRPr="006731A6" w:rsidRDefault="0001323D" w:rsidP="0001323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USA; the ‘dark side’ of the 1920s</w:t>
            </w:r>
          </w:p>
        </w:tc>
      </w:tr>
    </w:tbl>
    <w:p w:rsidR="00645D54" w:rsidRPr="006731A6" w:rsidRDefault="00645D54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183A4C" w:rsidRPr="006731A6" w:rsidTr="000977AE">
        <w:trPr>
          <w:trHeight w:val="419"/>
        </w:trPr>
        <w:tc>
          <w:tcPr>
            <w:tcW w:w="10207" w:type="dxa"/>
            <w:gridSpan w:val="4"/>
            <w:vAlign w:val="center"/>
          </w:tcPr>
          <w:p w:rsidR="00183A4C" w:rsidRPr="006731A6" w:rsidRDefault="00183A4C" w:rsidP="000977A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Key Stage Four: GCSE History</w:t>
            </w:r>
          </w:p>
        </w:tc>
      </w:tr>
      <w:tr w:rsidR="00764A0E" w:rsidRPr="006731A6" w:rsidTr="00CE6CE6">
        <w:tc>
          <w:tcPr>
            <w:tcW w:w="10207" w:type="dxa"/>
            <w:gridSpan w:val="4"/>
          </w:tcPr>
          <w:p w:rsidR="00764A0E" w:rsidRPr="006731A6" w:rsidRDefault="00116E77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Understanding the modern world, Shaping the nation</w:t>
            </w:r>
          </w:p>
          <w:p w:rsidR="00764A0E" w:rsidRPr="006731A6" w:rsidRDefault="00764A0E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 xml:space="preserve">Aims of the course: </w:t>
            </w:r>
            <w:r w:rsidR="00116E77"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to enable students to study different aspects of the past in order that they can engage with key issues such as conflict and tension</w:t>
            </w:r>
          </w:p>
          <w:p w:rsidR="00116E77" w:rsidRPr="006731A6" w:rsidRDefault="00116E77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To understand what drives change and how the past influences the present</w:t>
            </w:r>
          </w:p>
          <w:p w:rsidR="00764A0E" w:rsidRPr="006731A6" w:rsidRDefault="00764A0E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</w:p>
        </w:tc>
      </w:tr>
      <w:tr w:rsidR="00764A0E" w:rsidRPr="006731A6" w:rsidTr="00764A0E">
        <w:tc>
          <w:tcPr>
            <w:tcW w:w="2551" w:type="dxa"/>
          </w:tcPr>
          <w:p w:rsidR="00764A0E" w:rsidRPr="006731A6" w:rsidRDefault="00764A0E" w:rsidP="00764A0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Component 1</w:t>
            </w:r>
          </w:p>
        </w:tc>
        <w:tc>
          <w:tcPr>
            <w:tcW w:w="2552" w:type="dxa"/>
          </w:tcPr>
          <w:p w:rsidR="00764A0E" w:rsidRPr="006731A6" w:rsidRDefault="00764A0E" w:rsidP="00764A0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Component 2</w:t>
            </w:r>
          </w:p>
        </w:tc>
        <w:tc>
          <w:tcPr>
            <w:tcW w:w="2552" w:type="dxa"/>
          </w:tcPr>
          <w:p w:rsidR="00764A0E" w:rsidRPr="006731A6" w:rsidRDefault="00764A0E" w:rsidP="00764A0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Component 3</w:t>
            </w:r>
          </w:p>
        </w:tc>
        <w:tc>
          <w:tcPr>
            <w:tcW w:w="2552" w:type="dxa"/>
          </w:tcPr>
          <w:p w:rsidR="00764A0E" w:rsidRPr="006731A6" w:rsidRDefault="00764A0E" w:rsidP="00764A0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Component 4</w:t>
            </w:r>
          </w:p>
        </w:tc>
      </w:tr>
      <w:tr w:rsidR="00764A0E" w:rsidRPr="006731A6" w:rsidTr="00764A0E">
        <w:tc>
          <w:tcPr>
            <w:tcW w:w="2551" w:type="dxa"/>
          </w:tcPr>
          <w:p w:rsidR="00764A0E" w:rsidRPr="006731A6" w:rsidRDefault="00116E77" w:rsidP="00116E7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America, 1920-1973</w:t>
            </w:r>
          </w:p>
          <w:p w:rsidR="00116E77" w:rsidRPr="006731A6" w:rsidRDefault="00116E77" w:rsidP="00116E7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Opportunity and inequality</w:t>
            </w:r>
          </w:p>
          <w:p w:rsidR="00116E77" w:rsidRPr="006731A6" w:rsidRDefault="00116E77" w:rsidP="00116E7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Exam at the end of the course</w:t>
            </w:r>
          </w:p>
        </w:tc>
        <w:tc>
          <w:tcPr>
            <w:tcW w:w="2552" w:type="dxa"/>
          </w:tcPr>
          <w:p w:rsidR="00764A0E" w:rsidRPr="006731A6" w:rsidRDefault="00116E77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Conflict and tension in Asia, 1950-1975</w:t>
            </w:r>
          </w:p>
          <w:p w:rsidR="00116E77" w:rsidRPr="006731A6" w:rsidRDefault="00116E77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Key issues in Korea and Vietnam</w:t>
            </w:r>
          </w:p>
          <w:p w:rsidR="00116E77" w:rsidRPr="006731A6" w:rsidRDefault="00116E77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Exam at the end of the course</w:t>
            </w:r>
          </w:p>
        </w:tc>
        <w:tc>
          <w:tcPr>
            <w:tcW w:w="2552" w:type="dxa"/>
          </w:tcPr>
          <w:p w:rsidR="00764A0E" w:rsidRPr="006731A6" w:rsidRDefault="00116E77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Britain: Health and the people, c1000 to the present day</w:t>
            </w:r>
          </w:p>
          <w:p w:rsidR="00116E77" w:rsidRPr="006731A6" w:rsidRDefault="002B711D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Looking at the causes and cures associated with health of the people</w:t>
            </w:r>
          </w:p>
          <w:p w:rsidR="002B711D" w:rsidRPr="006731A6" w:rsidRDefault="002B711D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lastRenderedPageBreak/>
              <w:t>Exam at the end of the course</w:t>
            </w:r>
          </w:p>
        </w:tc>
        <w:tc>
          <w:tcPr>
            <w:tcW w:w="2552" w:type="dxa"/>
          </w:tcPr>
          <w:p w:rsidR="00764A0E" w:rsidRPr="006731A6" w:rsidRDefault="002B711D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lastRenderedPageBreak/>
              <w:t>Elizabethan England, c1568-1603</w:t>
            </w:r>
          </w:p>
          <w:p w:rsidR="002B711D" w:rsidRPr="006731A6" w:rsidRDefault="002B711D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British depth study including the historic environment</w:t>
            </w:r>
          </w:p>
          <w:p w:rsidR="002B711D" w:rsidRPr="006731A6" w:rsidRDefault="002B711D" w:rsidP="00645D5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Exam at the end of the course</w:t>
            </w:r>
          </w:p>
        </w:tc>
      </w:tr>
    </w:tbl>
    <w:p w:rsidR="000419F4" w:rsidRPr="006731A6" w:rsidRDefault="000419F4" w:rsidP="000419F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</w:p>
    <w:p w:rsidR="000419F4" w:rsidRPr="006731A6" w:rsidRDefault="000419F4" w:rsidP="000419F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183A4C" w:rsidRPr="006731A6" w:rsidTr="000977AE">
        <w:trPr>
          <w:trHeight w:val="438"/>
        </w:trPr>
        <w:tc>
          <w:tcPr>
            <w:tcW w:w="10207" w:type="dxa"/>
            <w:gridSpan w:val="4"/>
            <w:vAlign w:val="center"/>
          </w:tcPr>
          <w:p w:rsidR="00183A4C" w:rsidRPr="006731A6" w:rsidRDefault="00183A4C" w:rsidP="000977A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Key Stage Five: A level History</w:t>
            </w:r>
          </w:p>
        </w:tc>
      </w:tr>
      <w:tr w:rsidR="000419F4" w:rsidRPr="006731A6" w:rsidTr="0054328E">
        <w:tc>
          <w:tcPr>
            <w:tcW w:w="10207" w:type="dxa"/>
            <w:gridSpan w:val="4"/>
          </w:tcPr>
          <w:p w:rsidR="000419F4" w:rsidRPr="006731A6" w:rsidRDefault="000419F4" w:rsidP="0054328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 xml:space="preserve">Aims of the course: </w:t>
            </w:r>
            <w:r w:rsidR="00C35ABC"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To gain a deeper understanding of the past through political, social, cultural and economic perspectives.</w:t>
            </w:r>
          </w:p>
          <w:p w:rsidR="00C35ABC" w:rsidRPr="006731A6" w:rsidRDefault="00C35ABC" w:rsidP="0054328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To help students understand the significance of historical events, the role of individuals in history and the nature of change over time.</w:t>
            </w:r>
          </w:p>
          <w:p w:rsidR="000419F4" w:rsidRPr="006731A6" w:rsidRDefault="000419F4" w:rsidP="0054328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</w:p>
        </w:tc>
      </w:tr>
      <w:tr w:rsidR="000419F4" w:rsidRPr="006731A6" w:rsidTr="0054328E">
        <w:tc>
          <w:tcPr>
            <w:tcW w:w="2551" w:type="dxa"/>
          </w:tcPr>
          <w:p w:rsidR="000419F4" w:rsidRPr="006731A6" w:rsidRDefault="000419F4" w:rsidP="0054328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Component 1</w:t>
            </w:r>
          </w:p>
        </w:tc>
        <w:tc>
          <w:tcPr>
            <w:tcW w:w="2552" w:type="dxa"/>
          </w:tcPr>
          <w:p w:rsidR="000419F4" w:rsidRPr="006731A6" w:rsidRDefault="000419F4" w:rsidP="0054328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Component 2</w:t>
            </w:r>
          </w:p>
        </w:tc>
        <w:tc>
          <w:tcPr>
            <w:tcW w:w="2552" w:type="dxa"/>
          </w:tcPr>
          <w:p w:rsidR="000419F4" w:rsidRPr="006731A6" w:rsidRDefault="000419F4" w:rsidP="0054328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Component 3</w:t>
            </w:r>
          </w:p>
        </w:tc>
        <w:tc>
          <w:tcPr>
            <w:tcW w:w="2552" w:type="dxa"/>
          </w:tcPr>
          <w:p w:rsidR="000419F4" w:rsidRPr="006731A6" w:rsidRDefault="000419F4" w:rsidP="0054328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Component 4</w:t>
            </w:r>
          </w:p>
        </w:tc>
      </w:tr>
      <w:tr w:rsidR="000419F4" w:rsidRPr="006731A6" w:rsidTr="0054328E">
        <w:tc>
          <w:tcPr>
            <w:tcW w:w="2551" w:type="dxa"/>
          </w:tcPr>
          <w:p w:rsidR="00C35ABC" w:rsidRPr="006731A6" w:rsidRDefault="00C35AB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Tsarist and Communist Russia, 1855-1964</w:t>
            </w:r>
          </w:p>
          <w:p w:rsidR="00C35ABC" w:rsidRPr="006731A6" w:rsidRDefault="00C35AB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C35ABC" w:rsidRPr="006731A6" w:rsidRDefault="00C35AB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The preservation of autocracy</w:t>
            </w:r>
          </w:p>
          <w:p w:rsidR="00C35ABC" w:rsidRPr="006731A6" w:rsidRDefault="00C35ABC" w:rsidP="00C35ABC">
            <w:pPr>
              <w:pStyle w:val="NoSpacing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collapse of autocracy</w:t>
            </w:r>
          </w:p>
          <w:p w:rsidR="00C35ABC" w:rsidRPr="006731A6" w:rsidRDefault="00C35ABC" w:rsidP="00C35ABC">
            <w:pPr>
              <w:pStyle w:val="NoSpacing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The emergence of the Communist dictatorship</w:t>
            </w:r>
          </w:p>
          <w:p w:rsidR="00C35ABC" w:rsidRPr="006731A6" w:rsidRDefault="00C35AB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The Stalinist dictatorship and reaction</w:t>
            </w:r>
          </w:p>
          <w:p w:rsidR="00126B3C" w:rsidRPr="006731A6" w:rsidRDefault="00126B3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126B3C" w:rsidRPr="006731A6" w:rsidRDefault="00126B3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Two hour 45 minute exam</w:t>
            </w:r>
          </w:p>
        </w:tc>
        <w:tc>
          <w:tcPr>
            <w:tcW w:w="2552" w:type="dxa"/>
          </w:tcPr>
          <w:p w:rsidR="000419F4" w:rsidRPr="006731A6" w:rsidRDefault="00C35AB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The Making of Modern Britain, 1951-2007</w:t>
            </w:r>
          </w:p>
          <w:p w:rsidR="00C35ABC" w:rsidRPr="006731A6" w:rsidRDefault="00C35AB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C35ABC" w:rsidRPr="006731A6" w:rsidRDefault="00C35AB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The </w:t>
            </w:r>
            <w:r w:rsidR="00126B3C"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Affluent Society</w:t>
            </w:r>
          </w:p>
          <w:p w:rsidR="00126B3C" w:rsidRPr="006731A6" w:rsidRDefault="00126B3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The Sixties</w:t>
            </w:r>
          </w:p>
          <w:p w:rsidR="00126B3C" w:rsidRPr="006731A6" w:rsidRDefault="00126B3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The end of Post War consensus</w:t>
            </w:r>
          </w:p>
          <w:p w:rsidR="00126B3C" w:rsidRPr="006731A6" w:rsidRDefault="00126B3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The impact of Thatcherism</w:t>
            </w:r>
          </w:p>
          <w:p w:rsidR="00126B3C" w:rsidRPr="006731A6" w:rsidRDefault="00126B3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Towards a new consensus</w:t>
            </w:r>
          </w:p>
          <w:p w:rsidR="00126B3C" w:rsidRPr="006731A6" w:rsidRDefault="00126B3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The Era of New </w:t>
            </w:r>
            <w:proofErr w:type="spellStart"/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Labour</w:t>
            </w:r>
            <w:proofErr w:type="spellEnd"/>
          </w:p>
          <w:p w:rsidR="00126B3C" w:rsidRPr="006731A6" w:rsidRDefault="00126B3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126B3C" w:rsidRPr="006731A6" w:rsidRDefault="00126B3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126B3C" w:rsidRPr="006731A6" w:rsidRDefault="00126B3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126B3C" w:rsidRPr="006731A6" w:rsidRDefault="00126B3C" w:rsidP="00C35ABC">
            <w:pPr>
              <w:pStyle w:val="NoSpacing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hAnsi="Arial" w:cs="Arial"/>
                <w:sz w:val="20"/>
                <w:szCs w:val="20"/>
                <w:lang w:val="en" w:eastAsia="en-GB"/>
              </w:rPr>
              <w:t>Two hour 45 minute exam</w:t>
            </w:r>
          </w:p>
        </w:tc>
        <w:tc>
          <w:tcPr>
            <w:tcW w:w="2552" w:type="dxa"/>
          </w:tcPr>
          <w:p w:rsidR="000419F4" w:rsidRPr="006731A6" w:rsidRDefault="00126B3C" w:rsidP="0054328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Historical Investigation – non examined assessment</w:t>
            </w:r>
          </w:p>
          <w:p w:rsidR="00126B3C" w:rsidRPr="006731A6" w:rsidRDefault="00126B3C" w:rsidP="0054328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  <w:r w:rsidRPr="006731A6"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  <w:t>This is worth 20% of the overall A level and is a personal study.  It involves research, source evaluation and historical interpretation.</w:t>
            </w:r>
          </w:p>
        </w:tc>
        <w:tc>
          <w:tcPr>
            <w:tcW w:w="2552" w:type="dxa"/>
          </w:tcPr>
          <w:p w:rsidR="000419F4" w:rsidRPr="006731A6" w:rsidRDefault="000419F4" w:rsidP="0054328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n" w:eastAsia="en-GB"/>
              </w:rPr>
            </w:pPr>
          </w:p>
        </w:tc>
      </w:tr>
    </w:tbl>
    <w:p w:rsidR="00645D54" w:rsidRPr="006731A6" w:rsidRDefault="000419F4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Subject Name:</w:t>
      </w:r>
      <w:r w:rsidR="00A821E7"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History</w:t>
      </w:r>
    </w:p>
    <w:p w:rsidR="000419F4" w:rsidRPr="006731A6" w:rsidRDefault="000419F4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The </w:t>
      </w:r>
      <w:r w:rsidR="00BF3C8A"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History</w:t>
      </w:r>
      <w:r w:rsidRPr="006731A6">
        <w:rPr>
          <w:rFonts w:ascii="Arial" w:eastAsia="Times New Roman" w:hAnsi="Arial" w:cs="Arial"/>
          <w:bCs/>
          <w:color w:val="FF0000"/>
          <w:sz w:val="20"/>
          <w:szCs w:val="20"/>
          <w:lang w:val="en" w:eastAsia="en-GB"/>
        </w:rPr>
        <w:t xml:space="preserve"> </w:t>
      </w: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faculty aims to:</w:t>
      </w:r>
    </w:p>
    <w:p w:rsidR="000419F4" w:rsidRPr="006731A6" w:rsidRDefault="00C34B56" w:rsidP="000419F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To enable students to understand the present through a study of events, developments and ideas that have gone before</w:t>
      </w:r>
      <w:r w:rsidR="000419F4"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</w:p>
    <w:p w:rsidR="000419F4" w:rsidRPr="006731A6" w:rsidRDefault="00C34B56" w:rsidP="000419F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To enable students to gain a better understanding of the history of their own country and also the history of other nations and peoples</w:t>
      </w:r>
    </w:p>
    <w:p w:rsidR="000419F4" w:rsidRPr="006731A6" w:rsidRDefault="00262896" w:rsidP="000419F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By the study of History, for students to improve their ability to argue, </w:t>
      </w:r>
      <w:proofErr w:type="spellStart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analyse</w:t>
      </w:r>
      <w:proofErr w:type="spellEnd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and conduct research. </w:t>
      </w:r>
      <w:r w:rsidR="000419F4"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    </w:t>
      </w:r>
    </w:p>
    <w:p w:rsidR="000419F4" w:rsidRPr="006731A6" w:rsidRDefault="000419F4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Key Stage </w:t>
      </w:r>
      <w:proofErr w:type="gramStart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Three</w:t>
      </w:r>
      <w:proofErr w:type="gramEnd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:</w:t>
      </w:r>
    </w:p>
    <w:p w:rsidR="005434FB" w:rsidRPr="006731A6" w:rsidRDefault="005434FB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We explore the Romans </w:t>
      </w:r>
      <w:proofErr w:type="gramStart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and also</w:t>
      </w:r>
      <w:proofErr w:type="gramEnd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study Medieval England.  Students will have the opportunity to research aspects of British political and social History such as the Industrial Revolution.  Students will also study modern warfare with a focus on World War 1 where trench warfare </w:t>
      </w:r>
      <w:proofErr w:type="gramStart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will be investigated</w:t>
      </w:r>
      <w:proofErr w:type="gramEnd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.  As an introduction to GCSE work, the boom period in 1920s America </w:t>
      </w:r>
      <w:proofErr w:type="gramStart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will also be studied</w:t>
      </w:r>
      <w:proofErr w:type="gramEnd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.</w:t>
      </w:r>
    </w:p>
    <w:p w:rsidR="00645D54" w:rsidRPr="006731A6" w:rsidRDefault="000419F4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Key Stage </w:t>
      </w:r>
      <w:proofErr w:type="gramStart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Four</w:t>
      </w:r>
      <w:proofErr w:type="gramEnd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:</w:t>
      </w:r>
    </w:p>
    <w:p w:rsidR="00645D54" w:rsidRPr="006731A6" w:rsidRDefault="000419F4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FF0000"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color w:val="000000" w:themeColor="text1"/>
          <w:sz w:val="20"/>
          <w:szCs w:val="20"/>
          <w:lang w:val="en" w:eastAsia="en-GB"/>
        </w:rPr>
        <w:t xml:space="preserve">Students follow </w:t>
      </w:r>
      <w:r w:rsidR="00A821E7"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AQA 8145 GCSE History</w:t>
      </w:r>
    </w:p>
    <w:p w:rsidR="000419F4" w:rsidRPr="006731A6" w:rsidRDefault="000419F4" w:rsidP="000419F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Post 16:</w:t>
      </w:r>
    </w:p>
    <w:p w:rsidR="000419F4" w:rsidRPr="006731A6" w:rsidRDefault="000419F4" w:rsidP="000419F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color w:val="000000" w:themeColor="text1"/>
          <w:sz w:val="20"/>
          <w:szCs w:val="20"/>
          <w:lang w:val="en" w:eastAsia="en-GB"/>
        </w:rPr>
        <w:lastRenderedPageBreak/>
        <w:t xml:space="preserve">Students follow </w:t>
      </w:r>
      <w:r w:rsidR="00BF3C8A"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AQA A level</w:t>
      </w:r>
    </w:p>
    <w:p w:rsidR="00BF3C8A" w:rsidRPr="006731A6" w:rsidRDefault="00DA11FC" w:rsidP="000419F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Options; 1H – Russian 1855-1964</w:t>
      </w:r>
      <w:proofErr w:type="gramStart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,  2S</w:t>
      </w:r>
      <w:proofErr w:type="gramEnd"/>
      <w:r w:rsidR="00BF3C8A"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– Britain 1951-2007</w:t>
      </w:r>
    </w:p>
    <w:p w:rsidR="00645D54" w:rsidRPr="006731A6" w:rsidRDefault="00645D54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</w:p>
    <w:p w:rsidR="000419F4" w:rsidRPr="006731A6" w:rsidRDefault="000419F4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For further information about </w:t>
      </w:r>
      <w:r w:rsidR="00BF3C8A"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the History</w:t>
      </w: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r w:rsidR="00C43B39"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curriculum,</w:t>
      </w: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please contact: </w:t>
      </w:r>
    </w:p>
    <w:p w:rsidR="000419F4" w:rsidRPr="006731A6" w:rsidRDefault="00BF3C8A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proofErr w:type="spellStart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Mrs</w:t>
      </w:r>
      <w:proofErr w:type="spellEnd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C </w:t>
      </w:r>
      <w:proofErr w:type="spellStart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Turton</w:t>
      </w:r>
      <w:proofErr w:type="spellEnd"/>
      <w:r w:rsidR="00C43B39"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– Curriculum Leader - History</w:t>
      </w:r>
    </w:p>
    <w:p w:rsidR="000419F4" w:rsidRPr="006731A6" w:rsidRDefault="000419F4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Email:</w:t>
      </w:r>
      <w:r w:rsidR="00BF3C8A"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hyperlink r:id="rId5" w:history="1">
        <w:r w:rsidR="00C43B39" w:rsidRPr="006731A6">
          <w:rPr>
            <w:rStyle w:val="Hyperlink"/>
            <w:rFonts w:ascii="Arial" w:eastAsia="Times New Roman" w:hAnsi="Arial" w:cs="Arial"/>
            <w:bCs/>
            <w:sz w:val="20"/>
            <w:szCs w:val="20"/>
            <w:lang w:val="en" w:eastAsia="en-GB"/>
          </w:rPr>
          <w:t>c.turton@rainford.org.uk</w:t>
        </w:r>
      </w:hyperlink>
    </w:p>
    <w:p w:rsidR="00C43B39" w:rsidRPr="006731A6" w:rsidRDefault="00C43B39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proofErr w:type="spellStart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>Mrs</w:t>
      </w:r>
      <w:proofErr w:type="spellEnd"/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L Williams – Curriculum Leader – Humanities</w:t>
      </w:r>
    </w:p>
    <w:p w:rsidR="00C43B39" w:rsidRPr="006731A6" w:rsidRDefault="00C43B39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Email – </w:t>
      </w:r>
      <w:hyperlink r:id="rId6" w:history="1">
        <w:r w:rsidRPr="006731A6">
          <w:rPr>
            <w:rStyle w:val="Hyperlink"/>
            <w:rFonts w:ascii="Arial" w:eastAsia="Times New Roman" w:hAnsi="Arial" w:cs="Arial"/>
            <w:bCs/>
            <w:sz w:val="20"/>
            <w:szCs w:val="20"/>
            <w:lang w:val="en" w:eastAsia="en-GB"/>
          </w:rPr>
          <w:t>l.williams@rainford.org.uk</w:t>
        </w:r>
      </w:hyperlink>
      <w:r w:rsidRPr="006731A6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</w:p>
    <w:p w:rsidR="00C43B39" w:rsidRPr="006731A6" w:rsidRDefault="00C43B39" w:rsidP="00645D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</w:p>
    <w:p w:rsidR="000419F4" w:rsidRDefault="000419F4" w:rsidP="00645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0419F4" w:rsidRDefault="000419F4" w:rsidP="00645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0419F4" w:rsidRDefault="000419F4" w:rsidP="00645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0419F4" w:rsidRDefault="000419F4" w:rsidP="00645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0419F4" w:rsidRDefault="000419F4" w:rsidP="00645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0419F4" w:rsidRDefault="000419F4" w:rsidP="00645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0419F4" w:rsidRDefault="000419F4" w:rsidP="00645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645D54" w:rsidRPr="00645D54" w:rsidRDefault="00645D54" w:rsidP="00645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645D5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Curriculum</w:t>
      </w:r>
    </w:p>
    <w:p w:rsidR="00645D54" w:rsidRPr="00645D54" w:rsidRDefault="00645D54" w:rsidP="00645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45D5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Academies and free schools must publish:</w:t>
      </w:r>
    </w:p>
    <w:p w:rsidR="00645D54" w:rsidRPr="00645D54" w:rsidRDefault="00645D54" w:rsidP="0064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45D5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content of the curriculum your school follows in each academic year for every subject</w:t>
      </w:r>
    </w:p>
    <w:p w:rsidR="00645D54" w:rsidRPr="00645D54" w:rsidRDefault="00645D54" w:rsidP="0064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45D5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your approach to the curriculum</w:t>
      </w:r>
    </w:p>
    <w:p w:rsidR="00645D54" w:rsidRPr="00645D54" w:rsidRDefault="00645D54" w:rsidP="0064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45D5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how parents or other members of the public can find out more about the curriculum your school is following</w:t>
      </w:r>
    </w:p>
    <w:p w:rsidR="00645D54" w:rsidRPr="00645D54" w:rsidRDefault="00645D54" w:rsidP="0064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45D5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how you meet the </w:t>
      </w:r>
      <w:hyperlink r:id="rId7" w:history="1">
        <w:r w:rsidRPr="00645D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 xml:space="preserve">16 to 19 study </w:t>
        </w:r>
        <w:proofErr w:type="spellStart"/>
        <w:r w:rsidRPr="00645D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programme</w:t>
        </w:r>
        <w:proofErr w:type="spellEnd"/>
        <w:r w:rsidRPr="00645D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 xml:space="preserve"> requirements</w:t>
        </w:r>
      </w:hyperlink>
      <w:r w:rsidRPr="00645D5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(if you have a sixth form or offer education at 16 to 19)</w:t>
      </w:r>
    </w:p>
    <w:p w:rsidR="00645D54" w:rsidRPr="00645D54" w:rsidRDefault="00645D54" w:rsidP="00645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45D5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Depending on what phase of education your school offers, you should also publish any of the following that apply to your school:</w:t>
      </w:r>
    </w:p>
    <w:p w:rsidR="00645D54" w:rsidRPr="00645D54" w:rsidRDefault="00645D54" w:rsidP="00645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45D5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lastRenderedPageBreak/>
        <w:t>the names of any phonics or reading schemes you are using in key stage 1</w:t>
      </w:r>
    </w:p>
    <w:p w:rsidR="00645D54" w:rsidRPr="00645D54" w:rsidRDefault="00645D54" w:rsidP="00645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45D5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list of the courses available to pupils at key stage 4, including GCSEs </w:t>
      </w:r>
    </w:p>
    <w:p w:rsidR="00645D54" w:rsidRPr="00645D54" w:rsidRDefault="00645D54" w:rsidP="00645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45D5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16 to 19 qualifications you offer</w:t>
      </w:r>
    </w:p>
    <w:p w:rsidR="00574DE6" w:rsidRDefault="00FE0FF0"/>
    <w:sectPr w:rsidR="00574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A3E"/>
    <w:multiLevelType w:val="hybridMultilevel"/>
    <w:tmpl w:val="3A8E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83BDD"/>
    <w:multiLevelType w:val="multilevel"/>
    <w:tmpl w:val="C04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15DE4"/>
    <w:multiLevelType w:val="multilevel"/>
    <w:tmpl w:val="9626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54"/>
    <w:rsid w:val="0001323D"/>
    <w:rsid w:val="000419F4"/>
    <w:rsid w:val="000977AE"/>
    <w:rsid w:val="00116E77"/>
    <w:rsid w:val="00126B3C"/>
    <w:rsid w:val="00183A4C"/>
    <w:rsid w:val="00262896"/>
    <w:rsid w:val="002B711D"/>
    <w:rsid w:val="00423186"/>
    <w:rsid w:val="005434FB"/>
    <w:rsid w:val="005A2C5D"/>
    <w:rsid w:val="00645D54"/>
    <w:rsid w:val="006731A6"/>
    <w:rsid w:val="006F1D55"/>
    <w:rsid w:val="00764A0E"/>
    <w:rsid w:val="00827156"/>
    <w:rsid w:val="008B4FF2"/>
    <w:rsid w:val="00A821E7"/>
    <w:rsid w:val="00BF3C8A"/>
    <w:rsid w:val="00C34B56"/>
    <w:rsid w:val="00C35ABC"/>
    <w:rsid w:val="00C43B39"/>
    <w:rsid w:val="00D3640E"/>
    <w:rsid w:val="00DA11FC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96C7"/>
  <w15:chartTrackingRefBased/>
  <w15:docId w15:val="{70C8665F-806D-4746-8BAA-A6D261BE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9F4"/>
    <w:pPr>
      <w:ind w:left="720"/>
      <w:contextualSpacing/>
    </w:pPr>
  </w:style>
  <w:style w:type="paragraph" w:styleId="NoSpacing">
    <w:name w:val="No Spacing"/>
    <w:uiPriority w:val="1"/>
    <w:qFormat/>
    <w:rsid w:val="00C35A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16-to-19-study-programmes-advice-on-planning-and-deliv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williams@rainford.org.uk" TargetMode="External"/><Relationship Id="rId5" Type="http://schemas.openxmlformats.org/officeDocument/2006/relationships/hyperlink" Target="mailto:c.turton@rainford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Rainford Technology College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Turton</dc:creator>
  <cp:keywords/>
  <dc:description/>
  <cp:lastModifiedBy>Jane Ledson</cp:lastModifiedBy>
  <cp:revision>8</cp:revision>
  <dcterms:created xsi:type="dcterms:W3CDTF">2017-12-15T10:35:00Z</dcterms:created>
  <dcterms:modified xsi:type="dcterms:W3CDTF">2018-01-11T15:14:00Z</dcterms:modified>
</cp:coreProperties>
</file>